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9D73B8" w:rsidRDefault="00A007BF" w:rsidP="00123085">
      <w:pPr>
        <w:jc w:val="both"/>
        <w:rPr>
          <w:rStyle w:val="BLOCKBOLD"/>
          <w:rFonts w:ascii="Calibri" w:hAnsi="Calibri"/>
        </w:rPr>
      </w:pPr>
      <w:r w:rsidRPr="00A007BF">
        <w:rPr>
          <w:rStyle w:val="BLOCKBOLD"/>
          <w:rFonts w:ascii="Calibri" w:hAnsi="Calibri"/>
        </w:rPr>
        <w:t xml:space="preserve">Procedura negoziata previa consultazione di elenco operatori ai sensi dell’art. 36 co. 2 lett. b) D.lgs. 50/2016 per </w:t>
      </w:r>
      <w:r w:rsidR="009D73B8">
        <w:rPr>
          <w:rStyle w:val="BLOCKBOLD"/>
          <w:rFonts w:ascii="Calibri" w:hAnsi="Calibri"/>
        </w:rPr>
        <w:t xml:space="preserve">LA </w:t>
      </w:r>
      <w:r w:rsidR="009D73B8" w:rsidRPr="009D73B8">
        <w:rPr>
          <w:rStyle w:val="BLOCKBOLD"/>
          <w:rFonts w:ascii="Calibri" w:hAnsi="Calibri"/>
        </w:rPr>
        <w:t>Fornitura di componenti per il cablaggio</w:t>
      </w:r>
      <w:r w:rsidR="009D73B8">
        <w:rPr>
          <w:rStyle w:val="BLOCKBOLD"/>
          <w:rFonts w:ascii="Calibri" w:hAnsi="Calibri"/>
        </w:rPr>
        <w:t>.</w:t>
      </w:r>
      <w:r w:rsidR="009D73B8">
        <w:rPr>
          <w:rStyle w:val="BLOCKBOLD"/>
          <w:rFonts w:ascii="Calibri" w:hAnsi="Calibri"/>
        </w:rPr>
        <w:br/>
        <w:t>D</w:t>
      </w:r>
      <w:r w:rsidRPr="00A007BF">
        <w:rPr>
          <w:rStyle w:val="BLOCKBOLD"/>
          <w:rFonts w:ascii="Calibri" w:hAnsi="Calibri"/>
        </w:rPr>
        <w:t>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r w:rsidR="009D73B8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9D73B8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9D73B8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9D73B8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9D73B8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9D73B8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9D73B8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9D73B8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9D73B8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9D73B8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bookmarkStart w:id="0" w:name="_GoBack"/>
      <w:bookmarkEnd w:id="0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riconosciute  o accertate con sentenza passata in giudicato come di seguito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_______________ ;</w:t>
      </w:r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Procedura negoziata previa </w:t>
    </w:r>
    <w:r w:rsidR="009D73B8">
      <w:rPr>
        <w:rFonts w:ascii="Calibri" w:hAnsi="Calibri"/>
        <w:sz w:val="18"/>
        <w:szCs w:val="18"/>
      </w:rPr>
      <w:t>c</w:t>
    </w:r>
    <w:r w:rsidRPr="00A007BF">
      <w:rPr>
        <w:rFonts w:ascii="Calibri" w:hAnsi="Calibri"/>
        <w:sz w:val="18"/>
        <w:szCs w:val="18"/>
      </w:rPr>
      <w:t xml:space="preserve">onsultazione di elenco operatori ai sensi dell’art. 36 co. 2 </w:t>
    </w:r>
    <w:proofErr w:type="spellStart"/>
    <w:r w:rsidRPr="00A007BF">
      <w:rPr>
        <w:rFonts w:ascii="Calibri" w:hAnsi="Calibri"/>
        <w:sz w:val="18"/>
        <w:szCs w:val="18"/>
      </w:rPr>
      <w:t>lett</w:t>
    </w:r>
    <w:proofErr w:type="spellEnd"/>
    <w:r w:rsidRPr="00A007BF">
      <w:rPr>
        <w:rFonts w:ascii="Calibri" w:hAnsi="Calibri"/>
        <w:sz w:val="18"/>
        <w:szCs w:val="18"/>
      </w:rPr>
      <w:t xml:space="preserve">. b) D.lgs. 50/2016 per </w:t>
    </w:r>
    <w:r w:rsidR="009D73B8">
      <w:rPr>
        <w:rFonts w:ascii="Calibri" w:hAnsi="Calibri"/>
        <w:sz w:val="18"/>
        <w:szCs w:val="18"/>
      </w:rPr>
      <w:t xml:space="preserve">la </w:t>
    </w:r>
    <w:r w:rsidR="009D73B8" w:rsidRPr="00A57EF8">
      <w:rPr>
        <w:rFonts w:cs="Arial"/>
        <w:bCs/>
        <w:sz w:val="20"/>
      </w:rPr>
      <w:t xml:space="preserve">Fornitura di </w:t>
    </w:r>
    <w:r w:rsidR="009D73B8">
      <w:rPr>
        <w:rFonts w:cs="Arial"/>
        <w:bCs/>
        <w:sz w:val="20"/>
      </w:rPr>
      <w:t>componenti per il cablaggio</w:t>
    </w:r>
    <w:r w:rsidR="009D73B8">
      <w:rPr>
        <w:rFonts w:ascii="Calibri" w:hAnsi="Calibri"/>
        <w:sz w:val="18"/>
        <w:szCs w:val="18"/>
      </w:rPr>
      <w:t>.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D73B8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2019-07-17T12:41:00Z</dcterms:created>
  <dcterms:modified xsi:type="dcterms:W3CDTF">2019-07-17T12:41:00Z</dcterms:modified>
</cp:coreProperties>
</file>